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ПУБЛИЧНАЯ ОФЕРТА (ДОГОВОР ПРИСОЕДИНЕНИЯ)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Редакция от 27.02.2026 г.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Настоящий документ является официальным предложением (публичной офертой) ТОО «Бронфуд» (БИН 240340023652), расположенного по адресу: Республика Казахстан, г. Астана, район Алматы, ул. Шамши Калдаякова, дом 1, кв. 3, индекс Z01B9H2 (далее — «Администратор»), заключить договор на условиях, изложенных ниже.</w:t>
        <w:br w:type="textWrapping"/>
        <w:br w:type="textWrapping"/>
        <w:t xml:space="preserve">Оферта адресована неопределенному кругу лиц и является публичной офертой в соответствии со статьями 394–396 Гражданского кодекса Республики Казахстан.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1.1. Сервис — веб-платформа https://bronfood.kz.</w:t>
        <w:br w:type="textWrapping"/>
        <w:t xml:space="preserve">1.2. Пользователь — физическое лицо, использующее Сервис.</w:t>
        <w:br w:type="textWrapping"/>
        <w:t xml:space="preserve">1.3. Заведение — партнер Сервиса, осуществляющий приготовление продукции.</w:t>
        <w:br w:type="textWrapping"/>
        <w:t xml:space="preserve">1.4. Заказ — оформленный через Сервис запрос на приобретение продукции Заведения.</w:t>
        <w:br w:type="textWrapping"/>
        <w:t xml:space="preserve">1.5. Самовывоз — самостоятельное получение Пользователем заказа в Заведении.</w:t>
        <w:br w:type="textWrapping"/>
        <w:t xml:space="preserve">1.6. Эквайринг — обработка платежей банковскими картами через платёжный сервис ioka.kz.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2.1. Администратор предоставляет Пользователю неисключительное право пользования Сервисом для оформления онлайн-заказов еды на вынос (самовывоз).</w:t>
        <w:br w:type="textWrapping"/>
        <w:t xml:space="preserve">2.2. Администратор является технологическим агрегатором и не является продавцом, производителем или доставщиком продукции.</w:t>
        <w:br w:type="textWrapping"/>
        <w:t xml:space="preserve">2.3. Договор между Пользователем и Заведение считается заключенным с момента подтверждения заказа.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3. Порядок оформления заказа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3.1. Пользователь выбирает Заведение и формирует заказ.</w:t>
        <w:br w:type="textWrapping"/>
        <w:t xml:space="preserve">3.2. Пользователь производит оплату банковской картой.</w:t>
        <w:br w:type="textWrapping"/>
        <w:t xml:space="preserve">3.3. После подтверждения оплаты заказ автоматически передается в Заведение.</w:t>
        <w:br w:type="textWrapping"/>
        <w:t xml:space="preserve">3.4. Заведение самостоятельно принимает решение о подтверждении или отклонении заказа.</w:t>
        <w:br w:type="textWrapping"/>
        <w:t xml:space="preserve">3.5. Пользователь осуществляет самовывоз в установленное Заведение время.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4. Платежи и безопасность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4.1. Оплата осуществляется через платёжный сервис ioka.kz.</w:t>
        <w:br w:type="textWrapping"/>
        <w:t xml:space="preserve">4.2. Все операции обрабатываются на стороне ioka.kz.</w:t>
        <w:br w:type="textWrapping"/>
        <w:t xml:space="preserve">4.3. Администратор не хранит и не обрабатывает реквизиты банковских карт.</w:t>
        <w:br w:type="textWrapping"/>
        <w:t xml:space="preserve">4.4. Передача данных осуществляется по протоколу SSL.</w:t>
        <w:br w:type="textWrapping"/>
        <w:t xml:space="preserve">4.5. Платёжный сервис соответствует стандарту PCI DSS.</w:t>
        <w:br w:type="textWrapping"/>
        <w:t xml:space="preserve">4.6. Может применяться технология 3D Secure.</w:t>
        <w:br w:type="textWrapping"/>
        <w:t xml:space="preserve">4.7. Все комиссии банков и платёжных систем оплачиваются Пользователем.</w:t>
        <w:br w:type="textWrapping"/>
        <w:t xml:space="preserve">4.8. В случае технического сбоя ответственность за перевод средств несёт эквайринг.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5. Возвраты денежных средств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5.1. Возврат возможен до начала приготовления заказа либо при подтвержденной отмене.</w:t>
        <w:br w:type="textWrapping"/>
        <w:t xml:space="preserve">5.2. Возврат осуществляется через ioka.kz на карту оплаты.</w:t>
        <w:br w:type="textWrapping"/>
        <w:t xml:space="preserve">5.3. Срок возврата зависит от банка-эмитента.</w:t>
        <w:br w:type="textWrapping"/>
        <w:t xml:space="preserve">5.4. Администратор не несет ответственности за сроки зачисления средств банком.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6. Ответственность сторон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6.1. Администратор отвечает исключительно за функционирование программной части Сервиса.</w:t>
        <w:br w:type="textWrapping"/>
        <w:t xml:space="preserve">6.2. Заведение несет ответственность за качество продукции, состав и сроки приготовления.</w:t>
        <w:br w:type="textWrapping"/>
        <w:t xml:space="preserve">6.3. Пользователь несет ответственность за корректность введенных данных.</w:t>
        <w:br w:type="textWrapping"/>
        <w:t xml:space="preserve">6.4. Максимальная ответственность Администратора ограничивается суммой оплаченного заказа.</w:t>
        <w:br w:type="textWrapping"/>
        <w:t xml:space="preserve">6.5. Сервис предоставляется по принципу «как есть» (as is).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7. Персональные данные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7.1. Пользователь дает согласие на обработку персональных данных в целях функционирования Сервиса.</w:t>
        <w:br w:type="textWrapping"/>
        <w:t xml:space="preserve">7.2. Обработка осуществляется в соответствии с Законом РК «О персональных данных и их защите».</w:t>
        <w:br w:type="textWrapping"/>
        <w:t xml:space="preserve">7.3. Пользователь вправе отозвать согласие путем направления заявления на email.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8. Cookies и уведомления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8.1. Сервис использует cookies и иные технические средства.</w:t>
        <w:br w:type="textWrapping"/>
        <w:t xml:space="preserve">8.2. Пользователь соглашается на получение уведомлений, связанных с заказами.</w:t>
        <w:br w:type="textWrapping"/>
        <w:t xml:space="preserve">8.3. Рекламные сообщения направляются только при наличии согласия.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9. Форс-мажор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Стороны освобождаются от ответственности при наступлении обстоятельств непреодолимой силы.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10. Разрешение споров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Споры разрешаются путем переговоров.</w:t>
        <w:br w:type="textWrapping"/>
        <w:t xml:space="preserve">При недостижении соглашения спор рассматривается в суде по месту нахождения Администратора.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11. Реквизиты Администратора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ТОО «Бронфуд»</w:t>
        <w:br w:type="textWrapping"/>
        <w:t xml:space="preserve">БИН: 240340023652</w:t>
        <w:br w:type="textWrapping"/>
        <w:t xml:space="preserve">Адрес: Республика Казахстан, г. Астана, район Алматы, ул. Шамши Калдаякова, дом 1, кв. 3, индекс Z01B9H2</w:t>
        <w:br w:type="textWrapping"/>
        <w:t xml:space="preserve">Руководитель: Аманжолов Алькей Жуманович</w:t>
        <w:br w:type="textWrapping"/>
        <w:t xml:space="preserve">Телефон: 87028363777</w:t>
        <w:br w:type="textWrapping"/>
        <w:t xml:space="preserve">Email: Bronfood.main@gmail.com</w:t>
        <w:br w:type="textWrapping"/>
        <w:t xml:space="preserve">Сайт: https://bronfood.kz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